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92400E"/>
        </w:rPr>
        <w:t xml:space="preserve">Purchase Request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Procurement approval request</w:t>
      </w:r>
    </w:p>
    <w:p>
      <w:pPr>
        <w:spacing w:after="120" w:before="280"/>
      </w:pPr>
      <w:r>
        <w:rPr>
          <w:b/>
          <w:bCs/>
          <w:color w:val="92400E"/>
          <w:sz w:val="22"/>
          <w:szCs w:val="22"/>
        </w:rPr>
        <w:t xml:space="preserve">Requester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Requester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Department / cost center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submitted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needed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2400E"/>
          <w:sz w:val="22"/>
          <w:szCs w:val="22"/>
        </w:rPr>
        <w:t xml:space="preserve">Items requested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4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Item description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2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Est. unit price</w:t>
            </w:r>
          </w:p>
        </w:tc>
        <w:tc>
          <w:tcPr>
            <w:tcW w:type="pct" w:w="2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total</w:t>
            </w:r>
          </w:p>
        </w:tc>
      </w:tr>
      <w:tr>
        <w:tc>
          <w:tcPr>
            <w:tcW w:type="pct" w:w="4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Estimated total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Suggested vendor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Budget code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Quote attached? (Y/N)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Justification (reason for purchase)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r>
        <w:rPr>
          <w:sz w:val="20"/>
          <w:szCs w:val="20"/>
        </w:rPr>
        <w:t xml:space="preserve">☐ Standard    ☐ Urgent</w:t>
      </w:r>
    </w:p>
    <w:p>
      <w:pPr>
        <w:spacing w:after="120" w:before="280"/>
      </w:pPr>
      <w:r>
        <w:rPr>
          <w:b/>
          <w:bCs/>
          <w:color w:val="92400E"/>
          <w:sz w:val="22"/>
          <w:szCs w:val="22"/>
        </w:rPr>
        <w:t xml:space="preserve">Office use only — approval</w:t>
      </w:r>
    </w:p>
    <w:p>
      <w:r>
        <w:rPr>
          <w:sz w:val="20"/>
          <w:szCs w:val="20"/>
        </w:rPr>
        <w:t xml:space="preserve">☐ Approved    ☐ Denied    ☐ On hold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PO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Approved amount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Approver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2026-07-17T06:03:40.586Z</dcterms:created>
  <dcterms:modified xsi:type="dcterms:W3CDTF">2026-07-17T06:03:40.586Z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